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20" w:firstLineChars="200"/>
        <w:jc w:val="center"/>
        <w:rPr>
          <w:rFonts w:ascii="黑体" w:hAnsi="黑体" w:eastAsia="黑体" w:cs="仿宋_GB2312"/>
          <w:sz w:val="36"/>
          <w:szCs w:val="36"/>
        </w:rPr>
      </w:pPr>
      <w:r>
        <w:rPr>
          <w:rFonts w:hint="eastAsia" w:ascii="黑体" w:hAnsi="黑体" w:eastAsia="黑体" w:cs="仿宋_GB2312"/>
          <w:sz w:val="36"/>
          <w:szCs w:val="36"/>
        </w:rPr>
        <w:t>云南财经大学勤工助学上岗协议</w:t>
      </w:r>
    </w:p>
    <w:p>
      <w:pPr>
        <w:keepNext w:val="0"/>
        <w:keepLines w:val="0"/>
        <w:pageBreakBefore w:val="0"/>
        <w:widowControl w:val="0"/>
        <w:kinsoku/>
        <w:wordWrap/>
        <w:overflowPunct/>
        <w:topLinePunct w:val="0"/>
        <w:autoSpaceDE/>
        <w:autoSpaceDN/>
        <w:bidi w:val="0"/>
        <w:adjustRightInd/>
        <w:snapToGrid/>
        <w:spacing w:before="157" w:beforeLines="50" w:line="540" w:lineRule="exact"/>
        <w:ind w:left="0" w:leftChars="0" w:right="0" w:rightChars="0" w:firstLine="560" w:firstLineChars="200"/>
        <w:jc w:val="both"/>
        <w:textAlignment w:val="auto"/>
        <w:outlineLvl w:val="9"/>
        <w:rPr>
          <w:rFonts w:ascii="仿宋_GB2312" w:hAnsi="仿宋_GB2312" w:eastAsia="仿宋_GB2312" w:cs="仿宋_GB2312"/>
          <w:sz w:val="28"/>
          <w:szCs w:val="28"/>
        </w:rPr>
      </w:pPr>
      <w:r>
        <w:rPr>
          <w:rFonts w:hint="eastAsia" w:ascii="仿宋_GB2312" w:hAnsi="仿宋_GB2312" w:eastAsia="仿宋_GB2312" w:cs="仿宋_GB2312"/>
          <w:sz w:val="28"/>
          <w:szCs w:val="28"/>
        </w:rPr>
        <w:t>甲方（用工部门）：</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rFonts w:ascii="仿宋_GB2312" w:hAnsi="仿宋_GB2312" w:eastAsia="仿宋_GB2312" w:cs="仿宋_GB2312"/>
          <w:sz w:val="28"/>
          <w:szCs w:val="28"/>
        </w:rPr>
      </w:pPr>
      <w:r>
        <w:rPr>
          <w:rFonts w:hint="eastAsia" w:ascii="仿宋_GB2312" w:hAnsi="仿宋_GB2312" w:eastAsia="仿宋_GB2312" w:cs="仿宋_GB2312"/>
          <w:sz w:val="28"/>
          <w:szCs w:val="28"/>
        </w:rPr>
        <w:t>乙方（上岗学生）：</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rFonts w:ascii="仿宋_GB2312" w:hAnsi="仿宋_GB2312" w:eastAsia="仿宋_GB2312" w:cs="仿宋_GB2312"/>
          <w:sz w:val="28"/>
          <w:szCs w:val="28"/>
        </w:rPr>
      </w:pPr>
      <w:r>
        <w:rPr>
          <w:rFonts w:hint="eastAsia" w:ascii="仿宋_GB2312" w:hAnsi="仿宋_GB2312" w:eastAsia="仿宋_GB2312" w:cs="仿宋_GB2312"/>
          <w:sz w:val="28"/>
          <w:szCs w:val="28"/>
        </w:rPr>
        <w:t>丙方（学院）：</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rFonts w:ascii="仿宋_GB2312" w:hAnsi="仿宋_GB2312" w:eastAsia="仿宋_GB2312" w:cs="仿宋_GB2312"/>
          <w:sz w:val="28"/>
          <w:szCs w:val="28"/>
        </w:rPr>
      </w:pPr>
      <w:r>
        <w:rPr>
          <w:rFonts w:hint="eastAsia" w:ascii="仿宋_GB2312" w:hAnsi="仿宋_GB2312" w:eastAsia="仿宋_GB2312" w:cs="仿宋_GB2312"/>
          <w:sz w:val="28"/>
          <w:szCs w:val="28"/>
        </w:rPr>
        <w:t>丁方（学生处）：</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为规范学校学生勤工助学管理，帮助家庭经济困难学生顺利完成学业，有效促进勤工助学活动的健康、有序开展，保障用工部门、上岗学生、学院、学生处四方的责、权、利相互明确，并在四方协商同意下</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签订</w:t>
      </w:r>
      <w:r>
        <w:rPr>
          <w:rFonts w:hint="eastAsia" w:ascii="仿宋_GB2312" w:hAnsi="仿宋_GB2312" w:eastAsia="仿宋_GB2312" w:cs="仿宋_GB2312"/>
          <w:color w:val="000000" w:themeColor="text1"/>
          <w:sz w:val="28"/>
          <w:szCs w:val="28"/>
          <w14:textFill>
            <w14:solidFill>
              <w14:schemeClr w14:val="tx1"/>
            </w14:solidFill>
          </w14:textFill>
        </w:rPr>
        <w:t>本协议：</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rFonts w:hint="eastAsia"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sz w:val="28"/>
          <w:szCs w:val="28"/>
          <w14:textFill>
            <w14:solidFill>
              <w14:schemeClr w14:val="tx1"/>
            </w14:solidFill>
          </w14:textFill>
        </w:rPr>
        <w:t>一、协议期限</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 xml:space="preserve">本协议自  </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 xml:space="preserve">年 </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 xml:space="preserve"> 月</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 xml:space="preserve">  日至 </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 xml:space="preserve"> 年 </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 xml:space="preserve"> 月 </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 xml:space="preserve"> 日。</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rFonts w:hint="eastAsia"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sz w:val="28"/>
          <w:szCs w:val="28"/>
          <w14:textFill>
            <w14:solidFill>
              <w14:schemeClr w14:val="tx1"/>
            </w14:solidFill>
          </w14:textFill>
        </w:rPr>
        <w:t>二、上岗内容和条件</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（一）甲方根据部门工作情况和有关政策，在丙方和丁方的推荐下通过择优聘任、竞争上岗等方式，确定乙方的工作岗位，其岗位职责按甲方的岗位要求执行。</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（二）甲方根据乙方申请的岗位，为乙方提供必需的工作条件，保障乙方的身体安全与身心健康。乙方有权拒绝甲方的</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违规</w:t>
      </w:r>
      <w:r>
        <w:rPr>
          <w:rFonts w:hint="eastAsia" w:ascii="仿宋_GB2312" w:hAnsi="仿宋_GB2312" w:eastAsia="仿宋_GB2312" w:cs="仿宋_GB2312"/>
          <w:color w:val="000000" w:themeColor="text1"/>
          <w:sz w:val="28"/>
          <w:szCs w:val="28"/>
          <w14:textFill>
            <w14:solidFill>
              <w14:schemeClr w14:val="tx1"/>
            </w14:solidFill>
          </w14:textFill>
        </w:rPr>
        <w:t>要求，对甲方及其管理人员漠视乙方身体安全与身心健康的行为，有权提出异议并向丙方和丁方反映。</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rFonts w:hint="eastAsia"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sz w:val="28"/>
          <w:szCs w:val="28"/>
          <w14:textFill>
            <w14:solidFill>
              <w14:schemeClr w14:val="tx1"/>
            </w14:solidFill>
          </w14:textFill>
        </w:rPr>
        <w:t>三、上岗纪律</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甲方应根据国家和学校的有关规定制定各项管理规章制度；乙方应自觉遵守国家和学校规定的劳动纪律和要求以及甲方的各项规章制度，工作上服从管理，认真负责。</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rFonts w:hint="eastAsia"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sz w:val="28"/>
          <w:szCs w:val="28"/>
          <w14:textFill>
            <w14:solidFill>
              <w14:schemeClr w14:val="tx1"/>
            </w14:solidFill>
          </w14:textFill>
        </w:rPr>
        <w:t>四、上岗酬金</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甲方每月5日前上报《云南财经大学勤工助学考勤表》，并经</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丁</w:t>
      </w:r>
      <w:r>
        <w:rPr>
          <w:rFonts w:hint="eastAsia" w:ascii="仿宋_GB2312" w:hAnsi="仿宋_GB2312" w:eastAsia="仿宋_GB2312" w:cs="仿宋_GB2312"/>
          <w:color w:val="000000" w:themeColor="text1"/>
          <w:sz w:val="28"/>
          <w:szCs w:val="28"/>
          <w14:textFill>
            <w14:solidFill>
              <w14:schemeClr w14:val="tx1"/>
            </w14:solidFill>
          </w14:textFill>
        </w:rPr>
        <w:t>方审核同意，于每月10日前按学校财务管理规定办理相关手续，把勤工助学酬金发放到学生个人的银行卡。</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rFonts w:hint="eastAsia"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sz w:val="28"/>
          <w:szCs w:val="28"/>
          <w14:textFill>
            <w14:solidFill>
              <w14:schemeClr w14:val="tx1"/>
            </w14:solidFill>
          </w14:textFill>
        </w:rPr>
        <w:t>五、终止、解除上岗协议条件</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（一）四方一致同意。</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（二）乙方违反国家法律法规和校纪校规的，以及屡次违反劳动纪律并经教育不改。</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（三）甲方有以暴力、威胁、或非法限制乙方的人身自由、强迫劳动、侮辱人格、侵害乙方合法权益行为。</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（四）</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甲</w:t>
      </w:r>
      <w:r>
        <w:rPr>
          <w:rFonts w:hint="eastAsia" w:ascii="仿宋_GB2312" w:hAnsi="仿宋_GB2312" w:eastAsia="仿宋_GB2312" w:cs="仿宋_GB2312"/>
          <w:color w:val="000000" w:themeColor="text1"/>
          <w:sz w:val="28"/>
          <w:szCs w:val="28"/>
          <w14:textFill>
            <w14:solidFill>
              <w14:schemeClr w14:val="tx1"/>
            </w14:solidFill>
          </w14:textFill>
        </w:rPr>
        <w:t>方连续2个月不支付乙方工资的（寒、暑假除外）。</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（五）有关部门确认上岗</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是否</w:t>
      </w:r>
      <w:r>
        <w:rPr>
          <w:rFonts w:hint="eastAsia" w:ascii="仿宋_GB2312" w:hAnsi="仿宋_GB2312" w:eastAsia="仿宋_GB2312" w:cs="仿宋_GB2312"/>
          <w:color w:val="000000" w:themeColor="text1"/>
          <w:sz w:val="28"/>
          <w:szCs w:val="28"/>
          <w14:textFill>
            <w14:solidFill>
              <w14:schemeClr w14:val="tx1"/>
            </w14:solidFill>
          </w14:textFill>
        </w:rPr>
        <w:t>安全、卫生条件</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是否合格</w:t>
      </w:r>
      <w:r>
        <w:rPr>
          <w:rFonts w:hint="eastAsia" w:ascii="仿宋_GB2312" w:hAnsi="仿宋_GB2312" w:eastAsia="仿宋_GB2312" w:cs="仿宋_GB2312"/>
          <w:color w:val="000000" w:themeColor="text1"/>
          <w:sz w:val="28"/>
          <w:szCs w:val="28"/>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（六）法律、法规规定的其他情形。</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rFonts w:hint="eastAsia" w:ascii="黑体" w:hAnsi="黑体" w:eastAsia="黑体" w:cs="黑体"/>
          <w:color w:val="000000" w:themeColor="text1"/>
          <w:sz w:val="28"/>
          <w:szCs w:val="28"/>
          <w14:textFill>
            <w14:solidFill>
              <w14:schemeClr w14:val="tx1"/>
            </w14:solidFill>
          </w14:textFill>
        </w:rPr>
      </w:pPr>
      <w:r>
        <w:rPr>
          <w:rFonts w:hint="eastAsia" w:ascii="黑体" w:hAnsi="黑体" w:eastAsia="黑体" w:cs="黑体"/>
          <w:color w:val="000000" w:themeColor="text1"/>
          <w:sz w:val="28"/>
          <w:szCs w:val="28"/>
          <w14:textFill>
            <w14:solidFill>
              <w14:schemeClr w14:val="tx1"/>
            </w14:solidFill>
          </w14:textFill>
        </w:rPr>
        <w:t>六、违反协议责任</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一方违反协议，给对方造成经济损失的，应根据其后果和责任，按政策予以适当赔偿。</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rFonts w:ascii="仿宋_GB2312" w:hAnsi="仿宋_GB2312" w:eastAsia="仿宋_GB2312" w:cs="仿宋_GB2312"/>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rFonts w:ascii="仿宋_GB2312" w:hAnsi="仿宋_GB2312" w:eastAsia="仿宋_GB2312" w:cs="仿宋_GB2312"/>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rFonts w:ascii="仿宋_GB2312" w:hAnsi="仿宋_GB2312" w:eastAsia="仿宋_GB2312" w:cs="仿宋_GB2312"/>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40" w:lineRule="exact"/>
        <w:ind w:right="0" w:rightChars="0"/>
        <w:jc w:val="both"/>
        <w:textAlignment w:val="auto"/>
        <w:outlineLvl w:val="9"/>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甲方</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用工部门</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签字盖</w:t>
      </w:r>
      <w:r>
        <w:rPr>
          <w:rFonts w:hint="eastAsia" w:ascii="仿宋_GB2312" w:hAnsi="仿宋_GB2312" w:eastAsia="仿宋_GB2312" w:cs="仿宋_GB2312"/>
          <w:color w:val="000000" w:themeColor="text1"/>
          <w:sz w:val="28"/>
          <w:szCs w:val="28"/>
          <w14:textFill>
            <w14:solidFill>
              <w14:schemeClr w14:val="tx1"/>
            </w14:solidFill>
          </w14:textFill>
        </w:rPr>
        <w:t xml:space="preserve">章：        </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乙方</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上岗学生</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r>
        <w:rPr>
          <w:rFonts w:hint="eastAsia" w:ascii="仿宋_GB2312" w:hAnsi="仿宋_GB2312" w:eastAsia="仿宋_GB2312" w:cs="仿宋_GB2312"/>
          <w:color w:val="000000" w:themeColor="text1"/>
          <w:sz w:val="28"/>
          <w:szCs w:val="28"/>
          <w14:textFill>
            <w14:solidFill>
              <w14:schemeClr w14:val="tx1"/>
            </w14:solidFill>
          </w14:textFill>
        </w:rPr>
        <w:t>签字：</w:t>
      </w:r>
    </w:p>
    <w:p>
      <w:pPr>
        <w:keepNext w:val="0"/>
        <w:keepLines w:val="0"/>
        <w:pageBreakBefore w:val="0"/>
        <w:widowControl w:val="0"/>
        <w:kinsoku/>
        <w:wordWrap/>
        <w:overflowPunct/>
        <w:topLinePunct w:val="0"/>
        <w:autoSpaceDE/>
        <w:autoSpaceDN/>
        <w:bidi w:val="0"/>
        <w:adjustRightInd/>
        <w:snapToGrid/>
        <w:spacing w:line="540" w:lineRule="exact"/>
        <w:ind w:right="0" w:rightChars="0" w:firstLine="560" w:firstLineChars="200"/>
        <w:jc w:val="both"/>
        <w:textAlignment w:val="auto"/>
        <w:outlineLvl w:val="9"/>
        <w:rPr>
          <w:rFonts w:hint="eastAsia"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 xml:space="preserve">年   月   日                </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 xml:space="preserve">年   月 </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日</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rFonts w:hint="eastAsia" w:ascii="仿宋_GB2312" w:hAnsi="仿宋_GB2312" w:eastAsia="仿宋_GB2312" w:cs="仿宋_GB2312"/>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560" w:firstLineChars="200"/>
        <w:jc w:val="both"/>
        <w:textAlignment w:val="auto"/>
        <w:outlineLvl w:val="9"/>
        <w:rPr>
          <w:rFonts w:hint="eastAsia" w:ascii="仿宋_GB2312" w:hAnsi="仿宋_GB2312" w:eastAsia="仿宋_GB2312" w:cs="仿宋_GB2312"/>
          <w:color w:val="000000" w:themeColor="text1"/>
          <w:sz w:val="28"/>
          <w:szCs w:val="28"/>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40" w:lineRule="exact"/>
        <w:ind w:right="0" w:rightChars="0"/>
        <w:jc w:val="both"/>
        <w:textAlignment w:val="auto"/>
        <w:outlineLvl w:val="9"/>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丙方</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学院）签字</w:t>
      </w:r>
      <w:r>
        <w:rPr>
          <w:rFonts w:hint="eastAsia" w:ascii="仿宋_GB2312" w:hAnsi="仿宋_GB2312" w:eastAsia="仿宋_GB2312" w:cs="仿宋_GB2312"/>
          <w:color w:val="000000" w:themeColor="text1"/>
          <w:sz w:val="28"/>
          <w:szCs w:val="28"/>
          <w14:textFill>
            <w14:solidFill>
              <w14:schemeClr w14:val="tx1"/>
            </w14:solidFill>
          </w14:textFill>
        </w:rPr>
        <w:t xml:space="preserve">盖章：       </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 xml:space="preserve"> 丁方</w:t>
      </w:r>
      <w:r>
        <w:rPr>
          <w:rFonts w:hint="eastAsia" w:ascii="仿宋_GB2312" w:hAnsi="仿宋_GB2312" w:eastAsia="仿宋_GB2312" w:cs="仿宋_GB2312"/>
          <w:color w:val="000000" w:themeColor="text1"/>
          <w:sz w:val="28"/>
          <w:szCs w:val="28"/>
          <w:lang w:eastAsia="zh-CN"/>
          <w14:textFill>
            <w14:solidFill>
              <w14:schemeClr w14:val="tx1"/>
            </w14:solidFill>
          </w14:textFill>
        </w:rPr>
        <w:t>（</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学生资助中心）签字</w:t>
      </w:r>
      <w:r>
        <w:rPr>
          <w:rFonts w:hint="eastAsia" w:ascii="仿宋_GB2312" w:hAnsi="仿宋_GB2312" w:eastAsia="仿宋_GB2312" w:cs="仿宋_GB2312"/>
          <w:color w:val="000000" w:themeColor="text1"/>
          <w:sz w:val="28"/>
          <w:szCs w:val="28"/>
          <w14:textFill>
            <w14:solidFill>
              <w14:schemeClr w14:val="tx1"/>
            </w14:solidFill>
          </w14:textFill>
        </w:rPr>
        <w:t>盖章：</w:t>
      </w:r>
    </w:p>
    <w:p>
      <w:pPr>
        <w:keepNext w:val="0"/>
        <w:keepLines w:val="0"/>
        <w:pageBreakBefore w:val="0"/>
        <w:widowControl w:val="0"/>
        <w:kinsoku/>
        <w:wordWrap/>
        <w:overflowPunct/>
        <w:topLinePunct w:val="0"/>
        <w:autoSpaceDE/>
        <w:autoSpaceDN/>
        <w:bidi w:val="0"/>
        <w:adjustRightInd/>
        <w:snapToGrid/>
        <w:spacing w:line="540" w:lineRule="exact"/>
        <w:ind w:right="0" w:rightChars="0" w:firstLine="560" w:firstLineChars="200"/>
        <w:jc w:val="both"/>
        <w:textAlignment w:val="auto"/>
        <w:outlineLvl w:val="9"/>
        <w:rPr>
          <w:rFonts w:ascii="仿宋_GB2312" w:hAnsi="仿宋_GB2312" w:eastAsia="仿宋_GB2312" w:cs="仿宋_GB2312"/>
          <w:color w:val="000000" w:themeColor="text1"/>
          <w:sz w:val="28"/>
          <w:szCs w:val="28"/>
          <w14:textFill>
            <w14:solidFill>
              <w14:schemeClr w14:val="tx1"/>
            </w14:solidFill>
          </w14:textFill>
        </w:rPr>
      </w:pPr>
      <w:r>
        <w:rPr>
          <w:rFonts w:hint="eastAsia" w:ascii="仿宋_GB2312" w:hAnsi="仿宋_GB2312" w:eastAsia="仿宋_GB2312" w:cs="仿宋_GB2312"/>
          <w:color w:val="000000" w:themeColor="text1"/>
          <w:sz w:val="28"/>
          <w:szCs w:val="28"/>
          <w14:textFill>
            <w14:solidFill>
              <w14:schemeClr w14:val="tx1"/>
            </w14:solidFill>
          </w14:textFill>
        </w:rPr>
        <w:t xml:space="preserve">年   月   日                </w:t>
      </w:r>
      <w:r>
        <w:rPr>
          <w:rFonts w:hint="eastAsia" w:ascii="仿宋_GB2312" w:hAnsi="仿宋_GB2312" w:eastAsia="仿宋_GB2312" w:cs="仿宋_GB2312"/>
          <w:color w:val="000000" w:themeColor="text1"/>
          <w:sz w:val="28"/>
          <w:szCs w:val="28"/>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28"/>
          <w:szCs w:val="28"/>
          <w14:textFill>
            <w14:solidFill>
              <w14:schemeClr w14:val="tx1"/>
            </w14:solidFill>
          </w14:textFill>
        </w:rPr>
        <w:t>年   月   日</w:t>
      </w:r>
    </w:p>
    <w:p>
      <w:pPr>
        <w:rPr>
          <w:color w:val="000000" w:themeColor="text1"/>
          <w14:textFill>
            <w14:solidFill>
              <w14:schemeClr w14:val="tx1"/>
            </w14:solidFill>
          </w14:textFill>
        </w:rPr>
      </w:pPr>
    </w:p>
    <w:p>
      <w:pPr>
        <w:rPr>
          <w:color w:val="000000" w:themeColor="text1"/>
          <w14:textFill>
            <w14:solidFill>
              <w14:schemeClr w14:val="tx1"/>
            </w14:solidFill>
          </w14:textFill>
        </w:rPr>
      </w:pPr>
    </w:p>
    <w:p>
      <w:pPr>
        <w:rPr>
          <w:rFonts w:hint="eastAsia"/>
          <w:color w:val="000000" w:themeColor="text1"/>
          <w:lang w:val="en-US" w:eastAsia="zh-CN"/>
          <w14:textFill>
            <w14:solidFill>
              <w14:schemeClr w14:val="tx1"/>
            </w14:solidFill>
          </w14:textFill>
        </w:rPr>
      </w:pPr>
    </w:p>
    <w:p>
      <w:pPr>
        <w:rPr>
          <w:rFonts w:hint="default" w:eastAsiaTheme="minorEastAsia"/>
          <w:color w:val="000000" w:themeColor="text1"/>
          <w:lang w:val="en-US" w:eastAsia="zh-CN"/>
          <w14:textFill>
            <w14:solidFill>
              <w14:schemeClr w14:val="tx1"/>
            </w14:solidFill>
          </w14:textFill>
        </w:rPr>
      </w:pPr>
      <w:bookmarkStart w:id="0" w:name="_GoBack"/>
      <w:bookmarkEnd w:id="0"/>
      <w:r>
        <w:rPr>
          <w:rFonts w:hint="eastAsia"/>
          <w:color w:val="000000" w:themeColor="text1"/>
          <w:lang w:val="en-US" w:eastAsia="zh-CN"/>
          <w14:textFill>
            <w14:solidFill>
              <w14:schemeClr w14:val="tx1"/>
            </w14:solidFill>
          </w14:textFill>
        </w:rPr>
        <w:t>备注：本表双面打印有效</w:t>
      </w:r>
    </w:p>
    <w:sectPr>
      <w:footerReference r:id="rId3" w:type="default"/>
      <w:pgSz w:w="11906" w:h="16838"/>
      <w:pgMar w:top="1440" w:right="1797" w:bottom="1440" w:left="179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